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92A" w:rsidRPr="00AA724E" w:rsidRDefault="00BE692A" w:rsidP="00BE692A">
      <w:pPr>
        <w:spacing w:after="120"/>
        <w:ind w:left="720" w:hanging="360"/>
        <w:jc w:val="both"/>
        <w:rPr>
          <w:sz w:val="19"/>
          <w:szCs w:val="19"/>
        </w:rPr>
      </w:pPr>
      <w:bookmarkStart w:id="0" w:name="_GoBack"/>
      <w:bookmarkEnd w:id="0"/>
      <w:r w:rsidRPr="00AA724E">
        <w:rPr>
          <w:sz w:val="19"/>
          <w:szCs w:val="19"/>
        </w:rPr>
        <w:t>1.     A minimum participation of 12 hours per month is required.  You can accumulate these hours as follows:</w:t>
      </w:r>
    </w:p>
    <w:p w:rsidR="00BE692A" w:rsidRPr="00AA724E" w:rsidRDefault="00BE692A" w:rsidP="00BE692A">
      <w:pPr>
        <w:numPr>
          <w:ilvl w:val="1"/>
          <w:numId w:val="1"/>
        </w:numPr>
        <w:jc w:val="both"/>
        <w:rPr>
          <w:rFonts w:eastAsia="Times New Roman"/>
          <w:sz w:val="19"/>
          <w:szCs w:val="19"/>
        </w:rPr>
      </w:pPr>
      <w:r w:rsidRPr="00AA724E">
        <w:rPr>
          <w:rFonts w:eastAsia="Times New Roman"/>
          <w:sz w:val="19"/>
          <w:szCs w:val="19"/>
        </w:rPr>
        <w:t>Monthly meetings(s) or Training</w:t>
      </w:r>
      <w:r w:rsidR="00FD5716">
        <w:rPr>
          <w:rFonts w:eastAsia="Times New Roman"/>
          <w:sz w:val="19"/>
          <w:szCs w:val="19"/>
        </w:rPr>
        <w:t>;</w:t>
      </w:r>
    </w:p>
    <w:p w:rsidR="00BE692A" w:rsidRPr="00AA724E" w:rsidRDefault="00BE692A" w:rsidP="00BE692A">
      <w:pPr>
        <w:numPr>
          <w:ilvl w:val="1"/>
          <w:numId w:val="1"/>
        </w:numPr>
        <w:jc w:val="both"/>
        <w:rPr>
          <w:rFonts w:eastAsia="Times New Roman"/>
          <w:sz w:val="19"/>
          <w:szCs w:val="19"/>
        </w:rPr>
      </w:pPr>
      <w:r w:rsidRPr="00AA724E">
        <w:rPr>
          <w:rFonts w:eastAsia="Times New Roman"/>
          <w:sz w:val="19"/>
          <w:szCs w:val="19"/>
        </w:rPr>
        <w:t>Special Event(s)</w:t>
      </w:r>
      <w:r w:rsidR="00FD5716">
        <w:rPr>
          <w:rFonts w:eastAsia="Times New Roman"/>
          <w:sz w:val="19"/>
          <w:szCs w:val="19"/>
        </w:rPr>
        <w:t>; or</w:t>
      </w:r>
    </w:p>
    <w:p w:rsidR="00BE692A" w:rsidRPr="00AA724E" w:rsidRDefault="00BE692A" w:rsidP="00BE692A">
      <w:pPr>
        <w:numPr>
          <w:ilvl w:val="1"/>
          <w:numId w:val="1"/>
        </w:numPr>
        <w:spacing w:after="240"/>
        <w:jc w:val="both"/>
        <w:rPr>
          <w:rFonts w:eastAsia="Times New Roman"/>
          <w:sz w:val="19"/>
          <w:szCs w:val="19"/>
        </w:rPr>
      </w:pPr>
      <w:r w:rsidRPr="00AA724E">
        <w:rPr>
          <w:rFonts w:eastAsia="Times New Roman"/>
          <w:sz w:val="19"/>
          <w:szCs w:val="19"/>
        </w:rPr>
        <w:t>Patrol or Escort Duty</w:t>
      </w:r>
      <w:r w:rsidR="00FD5716">
        <w:rPr>
          <w:rFonts w:eastAsia="Times New Roman"/>
          <w:sz w:val="19"/>
          <w:szCs w:val="19"/>
        </w:rPr>
        <w:t>.</w:t>
      </w:r>
    </w:p>
    <w:p w:rsidR="00BE692A" w:rsidRPr="00AA724E" w:rsidRDefault="00BE692A" w:rsidP="00BE692A">
      <w:pPr>
        <w:numPr>
          <w:ilvl w:val="0"/>
          <w:numId w:val="1"/>
        </w:numPr>
        <w:jc w:val="both"/>
        <w:rPr>
          <w:rFonts w:eastAsia="Times New Roman"/>
          <w:sz w:val="19"/>
          <w:szCs w:val="19"/>
        </w:rPr>
      </w:pPr>
      <w:r w:rsidRPr="00AA724E">
        <w:rPr>
          <w:rFonts w:eastAsia="Times New Roman"/>
          <w:sz w:val="19"/>
          <w:szCs w:val="19"/>
        </w:rPr>
        <w:t>You must attend all monthly meetings.  Meetings are normally not scheduled for July, August or December.</w:t>
      </w:r>
    </w:p>
    <w:p w:rsidR="00BE692A" w:rsidRPr="00AA724E" w:rsidRDefault="00BE692A" w:rsidP="00BE692A">
      <w:pPr>
        <w:jc w:val="both"/>
        <w:rPr>
          <w:sz w:val="19"/>
          <w:szCs w:val="19"/>
        </w:rPr>
      </w:pPr>
    </w:p>
    <w:p w:rsidR="00BE692A" w:rsidRPr="00AA724E" w:rsidRDefault="00BE692A" w:rsidP="00BE692A">
      <w:pPr>
        <w:numPr>
          <w:ilvl w:val="0"/>
          <w:numId w:val="1"/>
        </w:numPr>
        <w:jc w:val="both"/>
        <w:rPr>
          <w:rFonts w:eastAsia="Times New Roman"/>
          <w:sz w:val="19"/>
          <w:szCs w:val="19"/>
        </w:rPr>
      </w:pPr>
      <w:r w:rsidRPr="00AA724E">
        <w:rPr>
          <w:rFonts w:eastAsia="Times New Roman"/>
          <w:sz w:val="19"/>
          <w:szCs w:val="19"/>
        </w:rPr>
        <w:t xml:space="preserve">If you cannot attend a scheduled meeting, you </w:t>
      </w:r>
      <w:r w:rsidR="00FD5716">
        <w:rPr>
          <w:rFonts w:eastAsia="Times New Roman"/>
          <w:sz w:val="19"/>
          <w:szCs w:val="19"/>
        </w:rPr>
        <w:t xml:space="preserve">are required to </w:t>
      </w:r>
      <w:r w:rsidRPr="00AA724E">
        <w:rPr>
          <w:rFonts w:eastAsia="Times New Roman"/>
          <w:sz w:val="19"/>
          <w:szCs w:val="19"/>
        </w:rPr>
        <w:t>call your Sergeant or Staff Sergeant to inform them of the reason.</w:t>
      </w:r>
    </w:p>
    <w:p w:rsidR="00BE692A" w:rsidRPr="00AA724E" w:rsidRDefault="00BE692A" w:rsidP="00BE692A">
      <w:pPr>
        <w:jc w:val="both"/>
        <w:rPr>
          <w:sz w:val="19"/>
          <w:szCs w:val="19"/>
        </w:rPr>
      </w:pPr>
    </w:p>
    <w:p w:rsidR="00BE692A" w:rsidRPr="00AA724E" w:rsidRDefault="00BE692A" w:rsidP="00BE692A">
      <w:pPr>
        <w:numPr>
          <w:ilvl w:val="0"/>
          <w:numId w:val="1"/>
        </w:numPr>
        <w:jc w:val="both"/>
        <w:rPr>
          <w:rFonts w:eastAsia="Times New Roman"/>
          <w:sz w:val="19"/>
          <w:szCs w:val="19"/>
        </w:rPr>
      </w:pPr>
      <w:r w:rsidRPr="00AA724E">
        <w:rPr>
          <w:rFonts w:eastAsia="Times New Roman"/>
          <w:sz w:val="19"/>
          <w:szCs w:val="19"/>
        </w:rPr>
        <w:t>You must attend all meetings in uniform (except June) unless prior arrangements have been made with your Sergeant or Staff Sergeant.  If not in uniform, the alternate dress code is “business” attire.</w:t>
      </w:r>
    </w:p>
    <w:p w:rsidR="00BE692A" w:rsidRPr="00AA724E" w:rsidRDefault="00BE692A" w:rsidP="00BE692A">
      <w:pPr>
        <w:jc w:val="both"/>
        <w:rPr>
          <w:sz w:val="19"/>
          <w:szCs w:val="19"/>
        </w:rPr>
      </w:pPr>
    </w:p>
    <w:p w:rsidR="00BE692A" w:rsidRPr="00AA724E" w:rsidRDefault="00BE692A" w:rsidP="00BE692A">
      <w:pPr>
        <w:numPr>
          <w:ilvl w:val="0"/>
          <w:numId w:val="1"/>
        </w:numPr>
        <w:jc w:val="both"/>
        <w:rPr>
          <w:rFonts w:eastAsia="Times New Roman"/>
          <w:sz w:val="19"/>
          <w:szCs w:val="19"/>
        </w:rPr>
      </w:pPr>
      <w:r w:rsidRPr="00AA724E">
        <w:rPr>
          <w:rFonts w:eastAsia="Times New Roman"/>
          <w:sz w:val="19"/>
          <w:szCs w:val="19"/>
        </w:rPr>
        <w:t>If you are unable to attend a duty for which you have previously committ</w:t>
      </w:r>
      <w:r w:rsidR="00FD5716">
        <w:rPr>
          <w:rFonts w:eastAsia="Times New Roman"/>
          <w:sz w:val="19"/>
          <w:szCs w:val="19"/>
        </w:rPr>
        <w:t xml:space="preserve">ed, you must find a replacement and </w:t>
      </w:r>
      <w:r w:rsidRPr="00AA724E">
        <w:rPr>
          <w:rFonts w:eastAsia="Times New Roman"/>
          <w:sz w:val="19"/>
          <w:szCs w:val="19"/>
        </w:rPr>
        <w:t>notify your Sergeant or Staff Sergeant of you</w:t>
      </w:r>
      <w:r w:rsidR="006D49E1">
        <w:rPr>
          <w:rFonts w:eastAsia="Times New Roman"/>
          <w:sz w:val="19"/>
          <w:szCs w:val="19"/>
        </w:rPr>
        <w:t>r</w:t>
      </w:r>
      <w:r w:rsidRPr="00AA724E">
        <w:rPr>
          <w:rFonts w:eastAsia="Times New Roman"/>
          <w:sz w:val="19"/>
          <w:szCs w:val="19"/>
        </w:rPr>
        <w:t xml:space="preserve"> inability to attend and who </w:t>
      </w:r>
      <w:r w:rsidR="00FD5716">
        <w:rPr>
          <w:rFonts w:eastAsia="Times New Roman"/>
          <w:sz w:val="19"/>
          <w:szCs w:val="19"/>
        </w:rPr>
        <w:t>is the replacement</w:t>
      </w:r>
      <w:r w:rsidRPr="00AA724E">
        <w:rPr>
          <w:rFonts w:eastAsia="Times New Roman"/>
          <w:sz w:val="19"/>
          <w:szCs w:val="19"/>
        </w:rPr>
        <w:t>.</w:t>
      </w:r>
    </w:p>
    <w:p w:rsidR="00BE692A" w:rsidRPr="00AA724E" w:rsidRDefault="00BE692A" w:rsidP="00BE692A">
      <w:pPr>
        <w:jc w:val="both"/>
        <w:rPr>
          <w:sz w:val="19"/>
          <w:szCs w:val="19"/>
        </w:rPr>
      </w:pPr>
    </w:p>
    <w:p w:rsidR="00BE692A" w:rsidRPr="00AA724E" w:rsidRDefault="00BE692A" w:rsidP="00BE692A">
      <w:pPr>
        <w:numPr>
          <w:ilvl w:val="0"/>
          <w:numId w:val="1"/>
        </w:numPr>
        <w:jc w:val="both"/>
        <w:rPr>
          <w:rFonts w:eastAsia="Times New Roman"/>
          <w:sz w:val="19"/>
          <w:szCs w:val="19"/>
        </w:rPr>
      </w:pPr>
      <w:r w:rsidRPr="00AA724E">
        <w:rPr>
          <w:rFonts w:eastAsia="Times New Roman"/>
          <w:sz w:val="19"/>
          <w:szCs w:val="19"/>
        </w:rPr>
        <w:t>All auxiliary members are expected to give their full attention to auxiliary business when on duty.  Respect for and courtesy to fellow members and the general public is of paramount importan</w:t>
      </w:r>
      <w:r w:rsidR="006D49E1">
        <w:rPr>
          <w:rFonts w:eastAsia="Times New Roman"/>
          <w:sz w:val="19"/>
          <w:szCs w:val="19"/>
        </w:rPr>
        <w:t>ce</w:t>
      </w:r>
      <w:r w:rsidRPr="00AA724E">
        <w:rPr>
          <w:rFonts w:eastAsia="Times New Roman"/>
          <w:sz w:val="19"/>
          <w:szCs w:val="19"/>
        </w:rPr>
        <w:t xml:space="preserve"> at all times.  It is required that you provide the </w:t>
      </w:r>
      <w:r w:rsidR="00FD5716" w:rsidRPr="00AA724E">
        <w:rPr>
          <w:rFonts w:eastAsia="Times New Roman"/>
          <w:sz w:val="19"/>
          <w:szCs w:val="19"/>
        </w:rPr>
        <w:t>timeliest</w:t>
      </w:r>
      <w:r w:rsidRPr="00AA724E">
        <w:rPr>
          <w:rFonts w:eastAsia="Times New Roman"/>
          <w:sz w:val="19"/>
          <w:szCs w:val="19"/>
        </w:rPr>
        <w:t xml:space="preserve"> response possible to all auxiliary related telephone calls and your availability for duty.  Late attendance or early departure at timed events (i.e. parades, meetings) is not acceptable.</w:t>
      </w:r>
    </w:p>
    <w:p w:rsidR="00BE692A" w:rsidRPr="00AA724E" w:rsidRDefault="00BE692A" w:rsidP="00BE692A">
      <w:pPr>
        <w:jc w:val="both"/>
        <w:rPr>
          <w:sz w:val="19"/>
          <w:szCs w:val="19"/>
        </w:rPr>
      </w:pPr>
    </w:p>
    <w:p w:rsidR="00BE692A" w:rsidRPr="00AA724E" w:rsidRDefault="00BE692A" w:rsidP="00BE692A">
      <w:pPr>
        <w:numPr>
          <w:ilvl w:val="0"/>
          <w:numId w:val="1"/>
        </w:numPr>
        <w:jc w:val="both"/>
        <w:rPr>
          <w:rFonts w:eastAsia="Times New Roman"/>
          <w:sz w:val="19"/>
          <w:szCs w:val="19"/>
        </w:rPr>
      </w:pPr>
      <w:r w:rsidRPr="00AA724E">
        <w:rPr>
          <w:rFonts w:eastAsia="Times New Roman"/>
          <w:sz w:val="19"/>
          <w:szCs w:val="19"/>
        </w:rPr>
        <w:t>It is the responsibility of auxiliary members to ensure the accurate and timely submission of monthly duty sheets.  Duty sheets are to be submitted at the monthly meeting following the month the duties are performed (i.e. April’s duty sheet must be submitted at the May monthly meeting).</w:t>
      </w:r>
    </w:p>
    <w:p w:rsidR="00BE692A" w:rsidRPr="00AA724E" w:rsidRDefault="00BE692A" w:rsidP="00BE692A">
      <w:pPr>
        <w:jc w:val="both"/>
        <w:rPr>
          <w:sz w:val="19"/>
          <w:szCs w:val="19"/>
        </w:rPr>
      </w:pPr>
    </w:p>
    <w:p w:rsidR="00BE692A" w:rsidRPr="00AA724E" w:rsidRDefault="00BE692A" w:rsidP="00BE692A">
      <w:pPr>
        <w:numPr>
          <w:ilvl w:val="0"/>
          <w:numId w:val="1"/>
        </w:numPr>
        <w:jc w:val="both"/>
        <w:rPr>
          <w:rFonts w:eastAsia="Times New Roman"/>
          <w:sz w:val="19"/>
          <w:szCs w:val="19"/>
        </w:rPr>
      </w:pPr>
      <w:r w:rsidRPr="00AA724E">
        <w:rPr>
          <w:rFonts w:eastAsia="Times New Roman"/>
          <w:sz w:val="19"/>
          <w:szCs w:val="19"/>
        </w:rPr>
        <w:t>Any Auxiliary Member “out of service” for a period of one week or longer must notify their Sergeant or Staff Sergeant.</w:t>
      </w:r>
    </w:p>
    <w:p w:rsidR="00BE692A" w:rsidRPr="00AA724E" w:rsidRDefault="00BE692A" w:rsidP="00BE692A">
      <w:pPr>
        <w:jc w:val="both"/>
        <w:rPr>
          <w:sz w:val="19"/>
          <w:szCs w:val="19"/>
        </w:rPr>
      </w:pPr>
    </w:p>
    <w:p w:rsidR="00BE692A" w:rsidRPr="00AA724E" w:rsidRDefault="00BE692A" w:rsidP="00BE692A">
      <w:pPr>
        <w:numPr>
          <w:ilvl w:val="0"/>
          <w:numId w:val="1"/>
        </w:numPr>
        <w:jc w:val="both"/>
        <w:rPr>
          <w:rFonts w:eastAsia="Times New Roman"/>
          <w:sz w:val="19"/>
          <w:szCs w:val="19"/>
        </w:rPr>
      </w:pPr>
      <w:r w:rsidRPr="00AA724E">
        <w:rPr>
          <w:rFonts w:eastAsia="Times New Roman"/>
          <w:sz w:val="19"/>
          <w:szCs w:val="19"/>
        </w:rPr>
        <w:t>All special events requiring five or more auxiliary members will have a Sergeant or Staff Sergeant in attendance to whom you must first report.</w:t>
      </w:r>
    </w:p>
    <w:p w:rsidR="00BE692A" w:rsidRPr="00AA724E" w:rsidRDefault="00BE692A" w:rsidP="00BE692A">
      <w:pPr>
        <w:jc w:val="both"/>
        <w:rPr>
          <w:sz w:val="19"/>
          <w:szCs w:val="19"/>
        </w:rPr>
      </w:pPr>
    </w:p>
    <w:p w:rsidR="00BE692A" w:rsidRPr="00AA724E" w:rsidRDefault="00BE692A" w:rsidP="00BE692A">
      <w:pPr>
        <w:numPr>
          <w:ilvl w:val="0"/>
          <w:numId w:val="1"/>
        </w:numPr>
        <w:spacing w:after="120"/>
        <w:jc w:val="both"/>
        <w:rPr>
          <w:rFonts w:eastAsia="Times New Roman"/>
          <w:sz w:val="19"/>
          <w:szCs w:val="19"/>
        </w:rPr>
      </w:pPr>
      <w:r w:rsidRPr="00AA724E">
        <w:rPr>
          <w:rFonts w:eastAsia="Times New Roman"/>
          <w:sz w:val="19"/>
          <w:szCs w:val="19"/>
        </w:rPr>
        <w:t>At the monthly meeting in June of each year, awards will be presented for:</w:t>
      </w:r>
    </w:p>
    <w:p w:rsidR="00BE692A" w:rsidRPr="00AA724E" w:rsidRDefault="00BE692A" w:rsidP="00BE692A">
      <w:pPr>
        <w:numPr>
          <w:ilvl w:val="1"/>
          <w:numId w:val="1"/>
        </w:numPr>
        <w:jc w:val="both"/>
        <w:rPr>
          <w:rFonts w:eastAsia="Times New Roman"/>
          <w:sz w:val="19"/>
          <w:szCs w:val="19"/>
        </w:rPr>
      </w:pPr>
      <w:r w:rsidRPr="00AA724E">
        <w:rPr>
          <w:rFonts w:eastAsia="Times New Roman"/>
          <w:sz w:val="19"/>
          <w:szCs w:val="19"/>
        </w:rPr>
        <w:t>Auxiliary Member of the Year</w:t>
      </w:r>
      <w:r w:rsidR="00FD5716">
        <w:rPr>
          <w:rFonts w:eastAsia="Times New Roman"/>
          <w:sz w:val="19"/>
          <w:szCs w:val="19"/>
        </w:rPr>
        <w:t>; and</w:t>
      </w:r>
    </w:p>
    <w:p w:rsidR="00BE692A" w:rsidRPr="00AA724E" w:rsidRDefault="00BE692A" w:rsidP="00BE692A">
      <w:pPr>
        <w:numPr>
          <w:ilvl w:val="1"/>
          <w:numId w:val="1"/>
        </w:numPr>
        <w:jc w:val="both"/>
        <w:rPr>
          <w:rFonts w:eastAsia="Times New Roman"/>
          <w:sz w:val="19"/>
          <w:szCs w:val="19"/>
        </w:rPr>
      </w:pPr>
      <w:r w:rsidRPr="00AA724E">
        <w:rPr>
          <w:rFonts w:eastAsia="Times New Roman"/>
          <w:sz w:val="19"/>
          <w:szCs w:val="19"/>
        </w:rPr>
        <w:t>Most Hours Contributed by an Auxiliary Member</w:t>
      </w:r>
      <w:r w:rsidR="00FD5716">
        <w:rPr>
          <w:rFonts w:eastAsia="Times New Roman"/>
          <w:sz w:val="19"/>
          <w:szCs w:val="19"/>
        </w:rPr>
        <w:t>.</w:t>
      </w:r>
      <w:r w:rsidRPr="00AA724E">
        <w:rPr>
          <w:rFonts w:eastAsia="Times New Roman"/>
          <w:sz w:val="19"/>
          <w:szCs w:val="19"/>
        </w:rPr>
        <w:t xml:space="preserve"> </w:t>
      </w:r>
    </w:p>
    <w:p w:rsidR="00AA724E" w:rsidRPr="00AA724E" w:rsidRDefault="00AA724E" w:rsidP="00B063CE">
      <w:pPr>
        <w:jc w:val="both"/>
        <w:rPr>
          <w:rFonts w:eastAsia="Times New Roman"/>
          <w:sz w:val="19"/>
          <w:szCs w:val="19"/>
        </w:rPr>
      </w:pPr>
    </w:p>
    <w:p w:rsidR="00AA724E" w:rsidRDefault="00FD5716" w:rsidP="00AA724E">
      <w:pPr>
        <w:numPr>
          <w:ilvl w:val="0"/>
          <w:numId w:val="1"/>
        </w:numPr>
        <w:jc w:val="both"/>
        <w:rPr>
          <w:rFonts w:eastAsia="Times New Roman"/>
          <w:sz w:val="19"/>
          <w:szCs w:val="19"/>
        </w:rPr>
      </w:pPr>
      <w:r>
        <w:rPr>
          <w:rFonts w:eastAsia="Times New Roman"/>
          <w:sz w:val="19"/>
          <w:szCs w:val="19"/>
        </w:rPr>
        <w:t>Y</w:t>
      </w:r>
      <w:r w:rsidR="006D49E1" w:rsidRPr="006D49E1">
        <w:rPr>
          <w:rFonts w:eastAsia="Times New Roman"/>
          <w:sz w:val="19"/>
          <w:szCs w:val="19"/>
        </w:rPr>
        <w:t>ou</w:t>
      </w:r>
      <w:r w:rsidR="00AA724E" w:rsidRPr="006D49E1">
        <w:rPr>
          <w:rFonts w:eastAsia="Times New Roman"/>
          <w:sz w:val="19"/>
          <w:szCs w:val="19"/>
        </w:rPr>
        <w:t xml:space="preserve"> </w:t>
      </w:r>
      <w:r>
        <w:rPr>
          <w:rFonts w:eastAsia="Times New Roman"/>
          <w:sz w:val="19"/>
          <w:szCs w:val="19"/>
        </w:rPr>
        <w:t xml:space="preserve">must </w:t>
      </w:r>
      <w:r w:rsidR="00AA724E" w:rsidRPr="006D49E1">
        <w:rPr>
          <w:rFonts w:eastAsia="Times New Roman"/>
          <w:sz w:val="19"/>
          <w:szCs w:val="19"/>
        </w:rPr>
        <w:t xml:space="preserve">notify the YRP Sergeant of the Auxiliary Unit </w:t>
      </w:r>
      <w:r>
        <w:rPr>
          <w:rFonts w:eastAsia="Times New Roman"/>
          <w:sz w:val="19"/>
          <w:szCs w:val="19"/>
        </w:rPr>
        <w:t xml:space="preserve">within 72 hours </w:t>
      </w:r>
      <w:r w:rsidR="00AA724E" w:rsidRPr="006D49E1">
        <w:rPr>
          <w:rFonts w:eastAsia="Times New Roman"/>
          <w:sz w:val="19"/>
          <w:szCs w:val="19"/>
        </w:rPr>
        <w:t xml:space="preserve">of any interaction with any police service during </w:t>
      </w:r>
      <w:r w:rsidR="006D49E1" w:rsidRPr="006D49E1">
        <w:rPr>
          <w:rFonts w:eastAsia="Times New Roman"/>
          <w:sz w:val="19"/>
          <w:szCs w:val="19"/>
        </w:rPr>
        <w:t>your</w:t>
      </w:r>
      <w:r w:rsidR="00AA724E" w:rsidRPr="006D49E1">
        <w:rPr>
          <w:rFonts w:eastAsia="Times New Roman"/>
          <w:sz w:val="19"/>
          <w:szCs w:val="19"/>
        </w:rPr>
        <w:t xml:space="preserve"> time serving as an Auxiliary member.</w:t>
      </w:r>
    </w:p>
    <w:p w:rsidR="00B063CE" w:rsidRDefault="00B063CE" w:rsidP="00B063CE">
      <w:pPr>
        <w:pStyle w:val="ListParagraph"/>
        <w:rPr>
          <w:rFonts w:eastAsia="Times New Roman"/>
          <w:sz w:val="19"/>
          <w:szCs w:val="19"/>
        </w:rPr>
      </w:pPr>
    </w:p>
    <w:p w:rsidR="00B063CE" w:rsidRPr="00B063CE" w:rsidRDefault="00B063CE" w:rsidP="00B063CE">
      <w:pPr>
        <w:numPr>
          <w:ilvl w:val="0"/>
          <w:numId w:val="1"/>
        </w:numPr>
        <w:jc w:val="both"/>
        <w:rPr>
          <w:rFonts w:eastAsia="Times New Roman"/>
          <w:sz w:val="19"/>
          <w:szCs w:val="19"/>
        </w:rPr>
      </w:pPr>
      <w:r w:rsidRPr="00AA724E">
        <w:rPr>
          <w:rFonts w:eastAsia="Times New Roman"/>
          <w:sz w:val="19"/>
          <w:szCs w:val="19"/>
        </w:rPr>
        <w:t>In order to receive your annual cleaning allowance, you must fulfill all of the above noted obligations.</w:t>
      </w:r>
    </w:p>
    <w:p w:rsidR="00BE692A" w:rsidRPr="00AA724E" w:rsidRDefault="00BE692A" w:rsidP="00BE692A">
      <w:pPr>
        <w:jc w:val="both"/>
        <w:rPr>
          <w:sz w:val="18"/>
          <w:szCs w:val="18"/>
        </w:rPr>
      </w:pPr>
    </w:p>
    <w:p w:rsidR="00BE692A" w:rsidRPr="00AA724E" w:rsidRDefault="00BE692A" w:rsidP="00BE692A">
      <w:pPr>
        <w:jc w:val="both"/>
        <w:rPr>
          <w:sz w:val="18"/>
          <w:szCs w:val="18"/>
        </w:rPr>
      </w:pPr>
    </w:p>
    <w:tbl>
      <w:tblPr>
        <w:tblW w:w="0" w:type="auto"/>
        <w:tblCellMar>
          <w:left w:w="0" w:type="dxa"/>
          <w:right w:w="0" w:type="dxa"/>
        </w:tblCellMar>
        <w:tblLook w:val="04A0" w:firstRow="1" w:lastRow="0" w:firstColumn="1" w:lastColumn="0" w:noHBand="0" w:noVBand="1"/>
      </w:tblPr>
      <w:tblGrid>
        <w:gridCol w:w="311"/>
        <w:gridCol w:w="4626"/>
        <w:gridCol w:w="4423"/>
      </w:tblGrid>
      <w:tr w:rsidR="00BE692A" w:rsidRPr="00AA724E" w:rsidTr="006D49E1">
        <w:tc>
          <w:tcPr>
            <w:tcW w:w="288" w:type="dxa"/>
            <w:tcBorders>
              <w:top w:val="nil"/>
              <w:left w:val="nil"/>
            </w:tcBorders>
            <w:tcMar>
              <w:top w:w="0" w:type="dxa"/>
              <w:left w:w="108" w:type="dxa"/>
              <w:bottom w:w="0" w:type="dxa"/>
              <w:right w:w="108" w:type="dxa"/>
            </w:tcMar>
            <w:hideMark/>
          </w:tcPr>
          <w:p w:rsidR="00BE692A" w:rsidRPr="00AA724E" w:rsidRDefault="00BE692A">
            <w:pPr>
              <w:jc w:val="both"/>
              <w:rPr>
                <w:sz w:val="18"/>
                <w:szCs w:val="18"/>
                <w:lang w:val="en-US"/>
              </w:rPr>
            </w:pPr>
            <w:r w:rsidRPr="00AA724E">
              <w:rPr>
                <w:b/>
                <w:bCs/>
                <w:sz w:val="18"/>
                <w:szCs w:val="18"/>
              </w:rPr>
              <w:t>I,</w:t>
            </w:r>
          </w:p>
        </w:tc>
        <w:tc>
          <w:tcPr>
            <w:tcW w:w="5580" w:type="dxa"/>
            <w:tcBorders>
              <w:top w:val="nil"/>
              <w:bottom w:val="single" w:sz="4" w:space="0" w:color="auto"/>
            </w:tcBorders>
            <w:tcMar>
              <w:top w:w="0" w:type="dxa"/>
              <w:left w:w="108" w:type="dxa"/>
              <w:bottom w:w="0" w:type="dxa"/>
              <w:right w:w="108" w:type="dxa"/>
            </w:tcMar>
            <w:hideMark/>
          </w:tcPr>
          <w:p w:rsidR="00BE692A" w:rsidRPr="00AA724E" w:rsidRDefault="00BE692A">
            <w:pPr>
              <w:jc w:val="both"/>
              <w:rPr>
                <w:sz w:val="18"/>
                <w:szCs w:val="18"/>
                <w:lang w:val="en-US"/>
              </w:rPr>
            </w:pPr>
          </w:p>
        </w:tc>
        <w:tc>
          <w:tcPr>
            <w:tcW w:w="5148" w:type="dxa"/>
            <w:tcBorders>
              <w:top w:val="nil"/>
              <w:left w:val="nil"/>
              <w:right w:val="nil"/>
            </w:tcBorders>
            <w:tcMar>
              <w:top w:w="0" w:type="dxa"/>
              <w:left w:w="108" w:type="dxa"/>
              <w:bottom w:w="0" w:type="dxa"/>
              <w:right w:w="108" w:type="dxa"/>
            </w:tcMar>
            <w:hideMark/>
          </w:tcPr>
          <w:p w:rsidR="00BE692A" w:rsidRPr="00AA724E" w:rsidRDefault="006D49E1">
            <w:pPr>
              <w:jc w:val="both"/>
              <w:rPr>
                <w:sz w:val="18"/>
                <w:szCs w:val="18"/>
                <w:lang w:val="en-US"/>
              </w:rPr>
            </w:pPr>
            <w:r>
              <w:rPr>
                <w:b/>
                <w:bCs/>
                <w:sz w:val="18"/>
                <w:szCs w:val="18"/>
              </w:rPr>
              <w:t xml:space="preserve">, </w:t>
            </w:r>
            <w:r w:rsidR="00BE692A" w:rsidRPr="00AA724E">
              <w:rPr>
                <w:b/>
                <w:bCs/>
                <w:sz w:val="18"/>
                <w:szCs w:val="18"/>
              </w:rPr>
              <w:t xml:space="preserve">have read, understand and agree to abide by </w:t>
            </w:r>
          </w:p>
        </w:tc>
      </w:tr>
      <w:tr w:rsidR="00BE692A" w:rsidRPr="00AA724E" w:rsidTr="006D49E1">
        <w:tc>
          <w:tcPr>
            <w:tcW w:w="11016" w:type="dxa"/>
            <w:gridSpan w:val="3"/>
            <w:tcBorders>
              <w:top w:val="nil"/>
              <w:left w:val="nil"/>
              <w:right w:val="nil"/>
            </w:tcBorders>
            <w:tcMar>
              <w:top w:w="0" w:type="dxa"/>
              <w:left w:w="108" w:type="dxa"/>
              <w:bottom w:w="0" w:type="dxa"/>
              <w:right w:w="108" w:type="dxa"/>
            </w:tcMar>
            <w:hideMark/>
          </w:tcPr>
          <w:p w:rsidR="00BE692A" w:rsidRPr="00AA724E" w:rsidRDefault="00BE692A">
            <w:pPr>
              <w:jc w:val="both"/>
              <w:rPr>
                <w:sz w:val="18"/>
                <w:szCs w:val="18"/>
                <w:lang w:val="en-US"/>
              </w:rPr>
            </w:pPr>
            <w:r w:rsidRPr="00AA724E">
              <w:rPr>
                <w:b/>
                <w:bCs/>
                <w:sz w:val="18"/>
                <w:szCs w:val="18"/>
              </w:rPr>
              <w:t xml:space="preserve">these “Rules of Participation”.  I further understand that failure to comply will result in disciplinary action.  If </w:t>
            </w:r>
          </w:p>
        </w:tc>
      </w:tr>
      <w:tr w:rsidR="00BE692A" w:rsidRPr="00AA724E" w:rsidTr="006D49E1">
        <w:trPr>
          <w:trHeight w:val="549"/>
        </w:trPr>
        <w:tc>
          <w:tcPr>
            <w:tcW w:w="11016" w:type="dxa"/>
            <w:gridSpan w:val="3"/>
            <w:tcBorders>
              <w:top w:val="nil"/>
              <w:left w:val="nil"/>
              <w:right w:val="nil"/>
            </w:tcBorders>
            <w:tcMar>
              <w:top w:w="0" w:type="dxa"/>
              <w:left w:w="108" w:type="dxa"/>
              <w:bottom w:w="0" w:type="dxa"/>
              <w:right w:w="108" w:type="dxa"/>
            </w:tcMar>
            <w:hideMark/>
          </w:tcPr>
          <w:p w:rsidR="00BE692A" w:rsidRPr="00AA724E" w:rsidRDefault="00BE692A">
            <w:pPr>
              <w:jc w:val="both"/>
              <w:rPr>
                <w:sz w:val="18"/>
                <w:szCs w:val="18"/>
                <w:lang w:val="en-US"/>
              </w:rPr>
            </w:pPr>
            <w:r w:rsidRPr="00AA724E">
              <w:rPr>
                <w:b/>
                <w:bCs/>
                <w:sz w:val="18"/>
                <w:szCs w:val="18"/>
              </w:rPr>
              <w:lastRenderedPageBreak/>
              <w:t>circumstances are deemed significant enough to warrant a written reprimand, three such reprimands may result</w:t>
            </w:r>
            <w:r w:rsidR="006D49E1">
              <w:rPr>
                <w:b/>
                <w:bCs/>
                <w:sz w:val="18"/>
                <w:szCs w:val="18"/>
              </w:rPr>
              <w:t xml:space="preserve"> in dismissal.</w:t>
            </w:r>
          </w:p>
        </w:tc>
      </w:tr>
      <w:tr w:rsidR="00BE692A" w:rsidRPr="00AA724E" w:rsidTr="00BE692A">
        <w:tc>
          <w:tcPr>
            <w:tcW w:w="11016" w:type="dxa"/>
            <w:gridSpan w:val="3"/>
            <w:tcMar>
              <w:top w:w="0" w:type="dxa"/>
              <w:left w:w="108" w:type="dxa"/>
              <w:bottom w:w="0" w:type="dxa"/>
              <w:right w:w="108" w:type="dxa"/>
            </w:tcMar>
            <w:hideMark/>
          </w:tcPr>
          <w:p w:rsidR="00BE692A" w:rsidRPr="00AA724E" w:rsidRDefault="00BE692A">
            <w:pPr>
              <w:jc w:val="both"/>
              <w:rPr>
                <w:b/>
                <w:bCs/>
                <w:sz w:val="18"/>
                <w:szCs w:val="18"/>
                <w:lang w:val="en-US"/>
              </w:rPr>
            </w:pPr>
          </w:p>
        </w:tc>
      </w:tr>
    </w:tbl>
    <w:p w:rsidR="00BE692A" w:rsidRPr="00AA724E" w:rsidRDefault="00BE692A" w:rsidP="00BE692A">
      <w:pPr>
        <w:jc w:val="both"/>
        <w:rPr>
          <w:sz w:val="18"/>
          <w:szCs w:val="18"/>
          <w:lang w:val="en-US"/>
        </w:rPr>
      </w:pPr>
    </w:p>
    <w:p w:rsidR="00BE692A" w:rsidRPr="00AA724E" w:rsidRDefault="00BE692A" w:rsidP="00BE692A">
      <w:pPr>
        <w:jc w:val="both"/>
        <w:rPr>
          <w:sz w:val="18"/>
          <w:szCs w:val="18"/>
        </w:rPr>
      </w:pPr>
    </w:p>
    <w:p w:rsidR="00BE692A" w:rsidRPr="00AA724E" w:rsidRDefault="00BE692A" w:rsidP="00BE692A">
      <w:pPr>
        <w:jc w:val="both"/>
        <w:rPr>
          <w:sz w:val="18"/>
          <w:szCs w:val="18"/>
        </w:rPr>
      </w:pPr>
    </w:p>
    <w:tbl>
      <w:tblPr>
        <w:tblW w:w="0" w:type="auto"/>
        <w:tblCellMar>
          <w:left w:w="0" w:type="dxa"/>
          <w:right w:w="0" w:type="dxa"/>
        </w:tblCellMar>
        <w:tblLook w:val="04A0" w:firstRow="1" w:lastRow="0" w:firstColumn="1" w:lastColumn="0" w:noHBand="0" w:noVBand="1"/>
      </w:tblPr>
      <w:tblGrid>
        <w:gridCol w:w="4099"/>
        <w:gridCol w:w="780"/>
        <w:gridCol w:w="4481"/>
      </w:tblGrid>
      <w:tr w:rsidR="00BE692A" w:rsidRPr="00AA724E" w:rsidTr="00BE692A">
        <w:tc>
          <w:tcPr>
            <w:tcW w:w="4788" w:type="dxa"/>
            <w:tcBorders>
              <w:top w:val="nil"/>
              <w:left w:val="nil"/>
              <w:bottom w:val="single" w:sz="8" w:space="0" w:color="auto"/>
              <w:right w:val="nil"/>
            </w:tcBorders>
            <w:tcMar>
              <w:top w:w="0" w:type="dxa"/>
              <w:left w:w="108" w:type="dxa"/>
              <w:bottom w:w="0" w:type="dxa"/>
              <w:right w:w="108" w:type="dxa"/>
            </w:tcMar>
          </w:tcPr>
          <w:p w:rsidR="00BE692A" w:rsidRPr="00AA724E" w:rsidRDefault="00BE692A">
            <w:pPr>
              <w:jc w:val="both"/>
              <w:rPr>
                <w:sz w:val="18"/>
                <w:szCs w:val="18"/>
                <w:lang w:val="en-US"/>
              </w:rPr>
            </w:pPr>
          </w:p>
        </w:tc>
        <w:tc>
          <w:tcPr>
            <w:tcW w:w="900" w:type="dxa"/>
            <w:tcBorders>
              <w:top w:val="nil"/>
              <w:left w:val="single" w:sz="8" w:space="0" w:color="auto"/>
              <w:bottom w:val="nil"/>
              <w:right w:val="single" w:sz="8" w:space="0" w:color="auto"/>
            </w:tcBorders>
            <w:tcMar>
              <w:top w:w="0" w:type="dxa"/>
              <w:left w:w="108" w:type="dxa"/>
              <w:bottom w:w="0" w:type="dxa"/>
              <w:right w:w="108" w:type="dxa"/>
            </w:tcMar>
          </w:tcPr>
          <w:p w:rsidR="00BE692A" w:rsidRPr="00AA724E" w:rsidRDefault="00BE692A">
            <w:pPr>
              <w:jc w:val="both"/>
              <w:rPr>
                <w:sz w:val="18"/>
                <w:szCs w:val="18"/>
                <w:lang w:val="en-US"/>
              </w:rPr>
            </w:pPr>
          </w:p>
        </w:tc>
        <w:tc>
          <w:tcPr>
            <w:tcW w:w="5328" w:type="dxa"/>
            <w:tcBorders>
              <w:top w:val="nil"/>
              <w:left w:val="nil"/>
              <w:bottom w:val="single" w:sz="8" w:space="0" w:color="auto"/>
              <w:right w:val="nil"/>
            </w:tcBorders>
            <w:tcMar>
              <w:top w:w="0" w:type="dxa"/>
              <w:left w:w="108" w:type="dxa"/>
              <w:bottom w:w="0" w:type="dxa"/>
              <w:right w:w="108" w:type="dxa"/>
            </w:tcMar>
            <w:hideMark/>
          </w:tcPr>
          <w:p w:rsidR="00BE692A" w:rsidRPr="00AA724E" w:rsidRDefault="00BE692A">
            <w:pPr>
              <w:jc w:val="center"/>
              <w:rPr>
                <w:sz w:val="18"/>
                <w:szCs w:val="18"/>
                <w:lang w:val="en-US"/>
              </w:rPr>
            </w:pPr>
          </w:p>
        </w:tc>
      </w:tr>
      <w:tr w:rsidR="00BE692A" w:rsidRPr="00AA724E" w:rsidTr="00BE692A">
        <w:tc>
          <w:tcPr>
            <w:tcW w:w="4788" w:type="dxa"/>
            <w:tcMar>
              <w:top w:w="0" w:type="dxa"/>
              <w:left w:w="108" w:type="dxa"/>
              <w:bottom w:w="0" w:type="dxa"/>
              <w:right w:w="108" w:type="dxa"/>
            </w:tcMar>
            <w:hideMark/>
          </w:tcPr>
          <w:p w:rsidR="00BE692A" w:rsidRPr="00AA724E" w:rsidRDefault="00BE692A">
            <w:pPr>
              <w:jc w:val="center"/>
              <w:rPr>
                <w:sz w:val="18"/>
                <w:szCs w:val="18"/>
                <w:lang w:val="en-US"/>
              </w:rPr>
            </w:pPr>
            <w:r w:rsidRPr="00AA724E">
              <w:rPr>
                <w:sz w:val="18"/>
                <w:szCs w:val="18"/>
              </w:rPr>
              <w:t>Signature</w:t>
            </w:r>
          </w:p>
        </w:tc>
        <w:tc>
          <w:tcPr>
            <w:tcW w:w="900" w:type="dxa"/>
            <w:tcBorders>
              <w:top w:val="nil"/>
              <w:left w:val="single" w:sz="8" w:space="0" w:color="auto"/>
              <w:bottom w:val="nil"/>
              <w:right w:val="single" w:sz="8" w:space="0" w:color="auto"/>
            </w:tcBorders>
            <w:tcMar>
              <w:top w:w="0" w:type="dxa"/>
              <w:left w:w="108" w:type="dxa"/>
              <w:bottom w:w="0" w:type="dxa"/>
              <w:right w:w="108" w:type="dxa"/>
            </w:tcMar>
          </w:tcPr>
          <w:p w:rsidR="00BE692A" w:rsidRPr="00AA724E" w:rsidRDefault="00BE692A">
            <w:pPr>
              <w:jc w:val="center"/>
              <w:rPr>
                <w:sz w:val="18"/>
                <w:szCs w:val="18"/>
                <w:lang w:val="en-US"/>
              </w:rPr>
            </w:pPr>
          </w:p>
        </w:tc>
        <w:tc>
          <w:tcPr>
            <w:tcW w:w="5328" w:type="dxa"/>
            <w:tcMar>
              <w:top w:w="0" w:type="dxa"/>
              <w:left w:w="108" w:type="dxa"/>
              <w:bottom w:w="0" w:type="dxa"/>
              <w:right w:w="108" w:type="dxa"/>
            </w:tcMar>
            <w:hideMark/>
          </w:tcPr>
          <w:p w:rsidR="00BE692A" w:rsidRPr="00AA724E" w:rsidRDefault="00BE692A">
            <w:pPr>
              <w:jc w:val="center"/>
              <w:rPr>
                <w:sz w:val="18"/>
                <w:szCs w:val="18"/>
                <w:lang w:val="en-US"/>
              </w:rPr>
            </w:pPr>
            <w:r w:rsidRPr="00AA724E">
              <w:rPr>
                <w:sz w:val="18"/>
                <w:szCs w:val="18"/>
              </w:rPr>
              <w:t>Date</w:t>
            </w:r>
          </w:p>
        </w:tc>
      </w:tr>
    </w:tbl>
    <w:p w:rsidR="00BE692A" w:rsidRPr="00AA724E" w:rsidRDefault="00BE692A" w:rsidP="00BE692A">
      <w:pPr>
        <w:jc w:val="both"/>
        <w:rPr>
          <w:sz w:val="18"/>
          <w:szCs w:val="18"/>
          <w:lang w:val="en-US"/>
        </w:rPr>
      </w:pPr>
    </w:p>
    <w:sectPr w:rsidR="00BE692A" w:rsidRPr="00AA724E">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572" w:rsidRDefault="00514572" w:rsidP="00BE692A">
      <w:r>
        <w:separator/>
      </w:r>
    </w:p>
  </w:endnote>
  <w:endnote w:type="continuationSeparator" w:id="0">
    <w:p w:rsidR="00514572" w:rsidRDefault="00514572" w:rsidP="00BE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572" w:rsidRDefault="00514572" w:rsidP="00BE692A">
      <w:r>
        <w:separator/>
      </w:r>
    </w:p>
  </w:footnote>
  <w:footnote w:type="continuationSeparator" w:id="0">
    <w:p w:rsidR="00514572" w:rsidRDefault="00514572" w:rsidP="00BE6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92A" w:rsidRDefault="00BE692A" w:rsidP="00BE692A">
    <w:pPr>
      <w:jc w:val="center"/>
      <w:rPr>
        <w:b/>
        <w:bCs/>
        <w:sz w:val="36"/>
        <w:szCs w:val="36"/>
      </w:rPr>
    </w:pPr>
    <w:r>
      <w:rPr>
        <w:b/>
        <w:bCs/>
        <w:sz w:val="36"/>
        <w:szCs w:val="36"/>
      </w:rPr>
      <w:t>YORK REGIONAL AUXILIARY MEMBER</w:t>
    </w:r>
  </w:p>
  <w:p w:rsidR="00BE692A" w:rsidRDefault="00BE692A" w:rsidP="00BE692A">
    <w:pPr>
      <w:jc w:val="center"/>
      <w:rPr>
        <w:sz w:val="36"/>
        <w:szCs w:val="36"/>
      </w:rPr>
    </w:pPr>
    <w:r>
      <w:rPr>
        <w:b/>
        <w:bCs/>
        <w:sz w:val="36"/>
        <w:szCs w:val="36"/>
      </w:rPr>
      <w:t>RULES OF PARTICIPATION</w:t>
    </w:r>
  </w:p>
  <w:p w:rsidR="00BE692A" w:rsidRDefault="00BE6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326CB"/>
    <w:multiLevelType w:val="hybridMultilevel"/>
    <w:tmpl w:val="EC4EF3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2A"/>
    <w:rsid w:val="00241BD4"/>
    <w:rsid w:val="003228FB"/>
    <w:rsid w:val="00514572"/>
    <w:rsid w:val="006D49E1"/>
    <w:rsid w:val="00864AF4"/>
    <w:rsid w:val="00867BEB"/>
    <w:rsid w:val="00883967"/>
    <w:rsid w:val="00897B12"/>
    <w:rsid w:val="009F5F76"/>
    <w:rsid w:val="00AA724E"/>
    <w:rsid w:val="00B063CE"/>
    <w:rsid w:val="00BE692A"/>
    <w:rsid w:val="00CE3828"/>
    <w:rsid w:val="00D5580E"/>
    <w:rsid w:val="00F4174F"/>
    <w:rsid w:val="00FD57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8E362-CF9A-4747-B521-820EE3B1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92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92A"/>
    <w:pPr>
      <w:tabs>
        <w:tab w:val="center" w:pos="4680"/>
        <w:tab w:val="right" w:pos="9360"/>
      </w:tabs>
    </w:pPr>
  </w:style>
  <w:style w:type="character" w:customStyle="1" w:styleId="HeaderChar">
    <w:name w:val="Header Char"/>
    <w:basedOn w:val="DefaultParagraphFont"/>
    <w:link w:val="Header"/>
    <w:uiPriority w:val="99"/>
    <w:rsid w:val="00BE692A"/>
    <w:rPr>
      <w:rFonts w:ascii="Calibri" w:hAnsi="Calibri" w:cs="Calibri"/>
    </w:rPr>
  </w:style>
  <w:style w:type="paragraph" w:styleId="Footer">
    <w:name w:val="footer"/>
    <w:basedOn w:val="Normal"/>
    <w:link w:val="FooterChar"/>
    <w:uiPriority w:val="99"/>
    <w:unhideWhenUsed/>
    <w:rsid w:val="00BE692A"/>
    <w:pPr>
      <w:tabs>
        <w:tab w:val="center" w:pos="4680"/>
        <w:tab w:val="right" w:pos="9360"/>
      </w:tabs>
    </w:pPr>
  </w:style>
  <w:style w:type="character" w:customStyle="1" w:styleId="FooterChar">
    <w:name w:val="Footer Char"/>
    <w:basedOn w:val="DefaultParagraphFont"/>
    <w:link w:val="Footer"/>
    <w:uiPriority w:val="99"/>
    <w:rsid w:val="00BE692A"/>
    <w:rPr>
      <w:rFonts w:ascii="Calibri" w:hAnsi="Calibri" w:cs="Calibri"/>
    </w:rPr>
  </w:style>
  <w:style w:type="paragraph" w:styleId="BalloonText">
    <w:name w:val="Balloon Text"/>
    <w:basedOn w:val="Normal"/>
    <w:link w:val="BalloonTextChar"/>
    <w:uiPriority w:val="99"/>
    <w:semiHidden/>
    <w:unhideWhenUsed/>
    <w:rsid w:val="006D49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9E1"/>
    <w:rPr>
      <w:rFonts w:ascii="Segoe UI" w:hAnsi="Segoe UI" w:cs="Segoe UI"/>
      <w:sz w:val="18"/>
      <w:szCs w:val="18"/>
    </w:rPr>
  </w:style>
  <w:style w:type="paragraph" w:styleId="ListParagraph">
    <w:name w:val="List Paragraph"/>
    <w:basedOn w:val="Normal"/>
    <w:uiPriority w:val="34"/>
    <w:qFormat/>
    <w:rsid w:val="00B06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71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2158</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
    </vt:vector>
  </TitlesOfParts>
  <Company>York Regional Police</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Technology</dc:creator>
  <cp:lastModifiedBy>Gibbs, Susan #5854</cp:lastModifiedBy>
  <cp:revision>2</cp:revision>
  <cp:lastPrinted>2019-08-01T19:13:00Z</cp:lastPrinted>
  <dcterms:created xsi:type="dcterms:W3CDTF">2019-08-12T17:12:00Z</dcterms:created>
  <dcterms:modified xsi:type="dcterms:W3CDTF">2019-08-12T17:12:00Z</dcterms:modified>
</cp:coreProperties>
</file>